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B7D6" w14:textId="77777777" w:rsidR="00711B1D" w:rsidRDefault="00000000">
      <w:pPr>
        <w:pStyle w:val="Title"/>
      </w:pPr>
      <w:r>
        <w:t>World Pharmacists Day History and Themes</w:t>
      </w:r>
    </w:p>
    <w:p w14:paraId="03EFF162" w14:textId="77777777" w:rsidR="00711B1D" w:rsidRDefault="00000000">
      <w:pPr>
        <w:pStyle w:val="Heading1"/>
      </w:pPr>
      <w:r>
        <w:t>Where did the day begin?</w:t>
      </w:r>
    </w:p>
    <w:p w14:paraId="270C00DD" w14:textId="77777777" w:rsidR="00711B1D" w:rsidRDefault="00000000">
      <w:pPr>
        <w:rPr>
          <w:rFonts w:hint="eastAsia"/>
        </w:rPr>
      </w:pPr>
      <w:r>
        <w:t>The International Pharmaceutical Federation (FIP) was founded on 25 September 1912 in The Hague, the Netherlands. The date later became World Pharmacists Day. FIP Council adopted the observance at its 2009 world congress in Istanbul, Turkey. FIP states that its Turkish members had suggested 25 September. The Netherlands is therefore the country linked to FIP’s founding; Turkey is the country linked to adoption of the international day. The observance recognises the profession’s contribution to better health worldwide.</w:t>
      </w:r>
    </w:p>
    <w:p w14:paraId="1289E3F9" w14:textId="77777777" w:rsidR="00711B1D" w:rsidRDefault="00000000">
      <w:pPr>
        <w:rPr>
          <w:rFonts w:hint="eastAsia"/>
        </w:rPr>
      </w:pPr>
      <w:r>
        <w:t>Think of the timeline as two separate beginnings: 1912 for the international federation; 2009 for the decision to establish the annual day. FIP’s 2015 account called that celebration its fifth year, consistent with observances beginning in 2011. Do not describe 1912 as the first World Pharmacists Day.</w:t>
      </w:r>
    </w:p>
    <w:p w14:paraId="4EFB7816" w14:textId="77777777" w:rsidR="00711B1D" w:rsidRDefault="00000000">
      <w:pPr>
        <w:pStyle w:val="Heading1"/>
      </w:pPr>
      <w:r>
        <w:t>The themes through the years</w:t>
      </w:r>
    </w:p>
    <w:p w14:paraId="203AB96A" w14:textId="77777777" w:rsidR="00711B1D" w:rsidRDefault="00000000">
      <w:pPr>
        <w:rPr>
          <w:rFonts w:hint="eastAsia"/>
        </w:rPr>
      </w:pPr>
      <w:r>
        <w:t>The table records campaign wording when a source could be located. “Not verified” means an exact FIP theme could not be confirmed from the sources consulted; it does not mean no activities occurred. A World Congress theme is a different thing and is never substituted here.</w:t>
      </w:r>
    </w:p>
    <w:tbl>
      <w:tblPr>
        <w:tblStyle w:val="LightShading-Accen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4050"/>
        <w:gridCol w:w="3240"/>
      </w:tblGrid>
      <w:tr w:rsidR="00711B1D" w14:paraId="28B859D3" w14:textId="77777777" w:rsidTr="00765B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top w:val="none" w:sz="0" w:space="0" w:color="auto"/>
              <w:left w:val="none" w:sz="0" w:space="0" w:color="auto"/>
              <w:bottom w:val="none" w:sz="0" w:space="0" w:color="auto"/>
              <w:right w:val="none" w:sz="0" w:space="0" w:color="auto"/>
            </w:tcBorders>
          </w:tcPr>
          <w:p w14:paraId="07E7CDAF" w14:textId="77777777" w:rsidR="00711B1D" w:rsidRDefault="00000000">
            <w:pPr>
              <w:rPr>
                <w:rFonts w:hint="eastAsia"/>
              </w:rPr>
            </w:pPr>
            <w:r>
              <w:t>Year</w:t>
            </w:r>
          </w:p>
        </w:tc>
        <w:tc>
          <w:tcPr>
            <w:tcW w:w="4050" w:type="dxa"/>
            <w:tcBorders>
              <w:top w:val="none" w:sz="0" w:space="0" w:color="auto"/>
              <w:left w:val="none" w:sz="0" w:space="0" w:color="auto"/>
              <w:bottom w:val="none" w:sz="0" w:space="0" w:color="auto"/>
              <w:right w:val="none" w:sz="0" w:space="0" w:color="auto"/>
            </w:tcBorders>
          </w:tcPr>
          <w:p w14:paraId="62CA7290" w14:textId="77777777" w:rsidR="00711B1D" w:rsidRDefault="00000000">
            <w:pPr>
              <w:cnfStyle w:val="100000000000" w:firstRow="1" w:lastRow="0" w:firstColumn="0" w:lastColumn="0" w:oddVBand="0" w:evenVBand="0" w:oddHBand="0" w:evenHBand="0" w:firstRowFirstColumn="0" w:firstRowLastColumn="0" w:lastRowFirstColumn="0" w:lastRowLastColumn="0"/>
              <w:rPr>
                <w:rFonts w:hint="eastAsia"/>
              </w:rPr>
            </w:pPr>
            <w:r>
              <w:t>Theme or status</w:t>
            </w:r>
          </w:p>
        </w:tc>
        <w:tc>
          <w:tcPr>
            <w:tcW w:w="3240" w:type="dxa"/>
            <w:tcBorders>
              <w:top w:val="none" w:sz="0" w:space="0" w:color="auto"/>
              <w:left w:val="none" w:sz="0" w:space="0" w:color="auto"/>
              <w:bottom w:val="none" w:sz="0" w:space="0" w:color="auto"/>
              <w:right w:val="none" w:sz="0" w:space="0" w:color="auto"/>
            </w:tcBorders>
          </w:tcPr>
          <w:p w14:paraId="0B99DCCD" w14:textId="77777777" w:rsidR="00711B1D" w:rsidRDefault="00000000">
            <w:pPr>
              <w:cnfStyle w:val="100000000000" w:firstRow="1" w:lastRow="0" w:firstColumn="0" w:lastColumn="0" w:oddVBand="0" w:evenVBand="0" w:oddHBand="0" w:evenHBand="0" w:firstRowFirstColumn="0" w:firstRowLastColumn="0" w:lastRowFirstColumn="0" w:lastRowLastColumn="0"/>
              <w:rPr>
                <w:rFonts w:hint="eastAsia"/>
              </w:rPr>
            </w:pPr>
            <w:r>
              <w:t>Evidence</w:t>
            </w:r>
          </w:p>
        </w:tc>
      </w:tr>
      <w:tr w:rsidR="00711B1D" w14:paraId="6FCBE94F"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435AB3B7" w14:textId="77777777" w:rsidR="00711B1D" w:rsidRDefault="00000000">
            <w:pPr>
              <w:rPr>
                <w:rFonts w:hint="eastAsia"/>
              </w:rPr>
            </w:pPr>
            <w:r>
              <w:t>2009</w:t>
            </w:r>
          </w:p>
        </w:tc>
        <w:tc>
          <w:tcPr>
            <w:tcW w:w="4050" w:type="dxa"/>
            <w:tcBorders>
              <w:left w:val="none" w:sz="0" w:space="0" w:color="auto"/>
              <w:right w:val="none" w:sz="0" w:space="0" w:color="auto"/>
            </w:tcBorders>
          </w:tcPr>
          <w:p w14:paraId="09AD58F0"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Adoption by FIP Council in Istanbul; no annual-day theme listed</w:t>
            </w:r>
          </w:p>
        </w:tc>
        <w:tc>
          <w:tcPr>
            <w:tcW w:w="3240" w:type="dxa"/>
            <w:tcBorders>
              <w:left w:val="none" w:sz="0" w:space="0" w:color="auto"/>
              <w:right w:val="none" w:sz="0" w:space="0" w:color="auto"/>
            </w:tcBorders>
          </w:tcPr>
          <w:p w14:paraId="5A39A06A"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FIP history</w:t>
            </w:r>
          </w:p>
        </w:tc>
      </w:tr>
      <w:tr w:rsidR="00711B1D" w14:paraId="6405D6F4"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7CC25DA1" w14:textId="77777777" w:rsidR="00711B1D" w:rsidRDefault="00000000">
            <w:pPr>
              <w:rPr>
                <w:rFonts w:hint="eastAsia"/>
              </w:rPr>
            </w:pPr>
            <w:r>
              <w:t>2010</w:t>
            </w:r>
          </w:p>
        </w:tc>
        <w:tc>
          <w:tcPr>
            <w:tcW w:w="4050" w:type="dxa"/>
          </w:tcPr>
          <w:p w14:paraId="478ED2EA"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No annual-day theme verified</w:t>
            </w:r>
          </w:p>
        </w:tc>
        <w:tc>
          <w:tcPr>
            <w:tcW w:w="3240" w:type="dxa"/>
          </w:tcPr>
          <w:p w14:paraId="4D3E245D"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w:t>
            </w:r>
          </w:p>
        </w:tc>
      </w:tr>
      <w:tr w:rsidR="00711B1D" w14:paraId="5B5EBE7B"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4F14404E" w14:textId="77777777" w:rsidR="00711B1D" w:rsidRDefault="00000000">
            <w:pPr>
              <w:rPr>
                <w:rFonts w:hint="eastAsia"/>
              </w:rPr>
            </w:pPr>
            <w:r>
              <w:t>2011</w:t>
            </w:r>
          </w:p>
        </w:tc>
        <w:tc>
          <w:tcPr>
            <w:tcW w:w="4050" w:type="dxa"/>
            <w:tcBorders>
              <w:left w:val="none" w:sz="0" w:space="0" w:color="auto"/>
              <w:right w:val="none" w:sz="0" w:space="0" w:color="auto"/>
            </w:tcBorders>
          </w:tcPr>
          <w:p w14:paraId="56F3DF3B"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No exact theme verified</w:t>
            </w:r>
          </w:p>
        </w:tc>
        <w:tc>
          <w:tcPr>
            <w:tcW w:w="3240" w:type="dxa"/>
            <w:tcBorders>
              <w:left w:val="none" w:sz="0" w:space="0" w:color="auto"/>
              <w:right w:val="none" w:sz="0" w:space="0" w:color="auto"/>
            </w:tcBorders>
          </w:tcPr>
          <w:p w14:paraId="64C7ADAD"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w:t>
            </w:r>
          </w:p>
        </w:tc>
      </w:tr>
      <w:tr w:rsidR="00711B1D" w14:paraId="3D0E420B"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5CBE5F74" w14:textId="77777777" w:rsidR="00711B1D" w:rsidRDefault="00000000">
            <w:pPr>
              <w:rPr>
                <w:rFonts w:hint="eastAsia"/>
              </w:rPr>
            </w:pPr>
            <w:r>
              <w:t>2012</w:t>
            </w:r>
          </w:p>
        </w:tc>
        <w:tc>
          <w:tcPr>
            <w:tcW w:w="4050" w:type="dxa"/>
          </w:tcPr>
          <w:p w14:paraId="0E60DF21"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No exact theme verified</w:t>
            </w:r>
          </w:p>
        </w:tc>
        <w:tc>
          <w:tcPr>
            <w:tcW w:w="3240" w:type="dxa"/>
          </w:tcPr>
          <w:p w14:paraId="355C9D60"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w:t>
            </w:r>
          </w:p>
        </w:tc>
      </w:tr>
      <w:tr w:rsidR="00711B1D" w14:paraId="2C9EA105"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6708757D" w14:textId="77777777" w:rsidR="00711B1D" w:rsidRDefault="00000000">
            <w:pPr>
              <w:rPr>
                <w:rFonts w:hint="eastAsia"/>
              </w:rPr>
            </w:pPr>
            <w:r>
              <w:t>2013</w:t>
            </w:r>
          </w:p>
        </w:tc>
        <w:tc>
          <w:tcPr>
            <w:tcW w:w="4050" w:type="dxa"/>
            <w:tcBorders>
              <w:left w:val="none" w:sz="0" w:space="0" w:color="auto"/>
              <w:right w:val="none" w:sz="0" w:space="0" w:color="auto"/>
            </w:tcBorders>
          </w:tcPr>
          <w:p w14:paraId="4A901FEA"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No exact theme verified</w:t>
            </w:r>
          </w:p>
        </w:tc>
        <w:tc>
          <w:tcPr>
            <w:tcW w:w="3240" w:type="dxa"/>
            <w:tcBorders>
              <w:left w:val="none" w:sz="0" w:space="0" w:color="auto"/>
              <w:right w:val="none" w:sz="0" w:space="0" w:color="auto"/>
            </w:tcBorders>
          </w:tcPr>
          <w:p w14:paraId="1625363E"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w:t>
            </w:r>
          </w:p>
        </w:tc>
      </w:tr>
      <w:tr w:rsidR="00711B1D" w14:paraId="1AAE086C"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5C941501" w14:textId="77777777" w:rsidR="00711B1D" w:rsidRDefault="00000000">
            <w:pPr>
              <w:rPr>
                <w:rFonts w:hint="eastAsia"/>
              </w:rPr>
            </w:pPr>
            <w:r>
              <w:t>2014</w:t>
            </w:r>
          </w:p>
        </w:tc>
        <w:tc>
          <w:tcPr>
            <w:tcW w:w="4050" w:type="dxa"/>
          </w:tcPr>
          <w:p w14:paraId="37F6BF8D"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Access to pharmacists is access to health</w:t>
            </w:r>
          </w:p>
        </w:tc>
        <w:tc>
          <w:tcPr>
            <w:tcW w:w="3240" w:type="dxa"/>
          </w:tcPr>
          <w:p w14:paraId="101F4530"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FIP 2015 retrospective</w:t>
            </w:r>
          </w:p>
        </w:tc>
      </w:tr>
      <w:tr w:rsidR="00711B1D" w14:paraId="6DBB04E0"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2185E3BD" w14:textId="77777777" w:rsidR="00711B1D" w:rsidRDefault="00000000">
            <w:pPr>
              <w:rPr>
                <w:rFonts w:hint="eastAsia"/>
              </w:rPr>
            </w:pPr>
            <w:r>
              <w:t>2015</w:t>
            </w:r>
          </w:p>
        </w:tc>
        <w:tc>
          <w:tcPr>
            <w:tcW w:w="4050" w:type="dxa"/>
            <w:tcBorders>
              <w:left w:val="none" w:sz="0" w:space="0" w:color="auto"/>
              <w:right w:val="none" w:sz="0" w:space="0" w:color="auto"/>
            </w:tcBorders>
          </w:tcPr>
          <w:p w14:paraId="287E8E99"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Pharmacist(s): your partner(s) in health</w:t>
            </w:r>
          </w:p>
        </w:tc>
        <w:tc>
          <w:tcPr>
            <w:tcW w:w="3240" w:type="dxa"/>
            <w:tcBorders>
              <w:left w:val="none" w:sz="0" w:space="0" w:color="auto"/>
              <w:right w:val="none" w:sz="0" w:space="0" w:color="auto"/>
            </w:tcBorders>
          </w:tcPr>
          <w:p w14:paraId="1A313B42"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FIP 2015 article</w:t>
            </w:r>
          </w:p>
        </w:tc>
      </w:tr>
      <w:tr w:rsidR="00711B1D" w14:paraId="4131FE8B"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3AB70487" w14:textId="77777777" w:rsidR="00711B1D" w:rsidRDefault="00000000">
            <w:pPr>
              <w:rPr>
                <w:rFonts w:hint="eastAsia"/>
              </w:rPr>
            </w:pPr>
            <w:r>
              <w:t>2016</w:t>
            </w:r>
          </w:p>
        </w:tc>
        <w:tc>
          <w:tcPr>
            <w:tcW w:w="4050" w:type="dxa"/>
          </w:tcPr>
          <w:p w14:paraId="1A359253"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Pharmacists: Caring for you</w:t>
            </w:r>
          </w:p>
        </w:tc>
        <w:tc>
          <w:tcPr>
            <w:tcW w:w="3240" w:type="dxa"/>
          </w:tcPr>
          <w:p w14:paraId="143B477B"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FIP 2016 release</w:t>
            </w:r>
          </w:p>
        </w:tc>
      </w:tr>
      <w:tr w:rsidR="00711B1D" w14:paraId="03E599C8"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35FEF190" w14:textId="77777777" w:rsidR="00711B1D" w:rsidRDefault="00000000">
            <w:pPr>
              <w:rPr>
                <w:rFonts w:hint="eastAsia"/>
              </w:rPr>
            </w:pPr>
            <w:r>
              <w:t>2017</w:t>
            </w:r>
          </w:p>
        </w:tc>
        <w:tc>
          <w:tcPr>
            <w:tcW w:w="4050" w:type="dxa"/>
            <w:tcBorders>
              <w:left w:val="none" w:sz="0" w:space="0" w:color="auto"/>
              <w:right w:val="none" w:sz="0" w:space="0" w:color="auto"/>
            </w:tcBorders>
          </w:tcPr>
          <w:p w14:paraId="1085FDB4"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From research to health care: Your pharmacist is at your service</w:t>
            </w:r>
          </w:p>
        </w:tc>
        <w:tc>
          <w:tcPr>
            <w:tcW w:w="3240" w:type="dxa"/>
            <w:tcBorders>
              <w:left w:val="none" w:sz="0" w:space="0" w:color="auto"/>
              <w:right w:val="none" w:sz="0" w:space="0" w:color="auto"/>
            </w:tcBorders>
          </w:tcPr>
          <w:p w14:paraId="7F629470"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FIP announcement as reproduced by pharmacy press</w:t>
            </w:r>
          </w:p>
        </w:tc>
      </w:tr>
      <w:tr w:rsidR="00711B1D" w14:paraId="10491483"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1A494255" w14:textId="77777777" w:rsidR="00711B1D" w:rsidRDefault="00000000">
            <w:pPr>
              <w:rPr>
                <w:rFonts w:hint="eastAsia"/>
              </w:rPr>
            </w:pPr>
            <w:r>
              <w:t>2018</w:t>
            </w:r>
          </w:p>
        </w:tc>
        <w:tc>
          <w:tcPr>
            <w:tcW w:w="4050" w:type="dxa"/>
          </w:tcPr>
          <w:p w14:paraId="078284F5"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Pharmacists: Your medicines experts</w:t>
            </w:r>
          </w:p>
        </w:tc>
        <w:tc>
          <w:tcPr>
            <w:tcW w:w="3240" w:type="dxa"/>
          </w:tcPr>
          <w:p w14:paraId="353368D2"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Pharmacy organisation record</w:t>
            </w:r>
          </w:p>
        </w:tc>
      </w:tr>
      <w:tr w:rsidR="00711B1D" w14:paraId="5106D20A"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5EA49F5C" w14:textId="77777777" w:rsidR="00711B1D" w:rsidRDefault="00000000">
            <w:pPr>
              <w:rPr>
                <w:rFonts w:hint="eastAsia"/>
              </w:rPr>
            </w:pPr>
            <w:r>
              <w:t>2019</w:t>
            </w:r>
          </w:p>
        </w:tc>
        <w:tc>
          <w:tcPr>
            <w:tcW w:w="4050" w:type="dxa"/>
            <w:tcBorders>
              <w:left w:val="none" w:sz="0" w:space="0" w:color="auto"/>
              <w:right w:val="none" w:sz="0" w:space="0" w:color="auto"/>
            </w:tcBorders>
          </w:tcPr>
          <w:p w14:paraId="6C8267FB"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Safe and effective medicines for all</w:t>
            </w:r>
          </w:p>
        </w:tc>
        <w:tc>
          <w:tcPr>
            <w:tcW w:w="3240" w:type="dxa"/>
            <w:tcBorders>
              <w:left w:val="none" w:sz="0" w:space="0" w:color="auto"/>
              <w:right w:val="none" w:sz="0" w:space="0" w:color="auto"/>
            </w:tcBorders>
          </w:tcPr>
          <w:p w14:paraId="61DC0709"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Contemporary pharmacy report; confirm against FIP archive before reuse as an exact quote</w:t>
            </w:r>
          </w:p>
        </w:tc>
      </w:tr>
      <w:tr w:rsidR="00711B1D" w14:paraId="51F28FB6"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0DB4A772" w14:textId="77777777" w:rsidR="00711B1D" w:rsidRDefault="00000000">
            <w:pPr>
              <w:rPr>
                <w:rFonts w:hint="eastAsia"/>
              </w:rPr>
            </w:pPr>
            <w:r>
              <w:t>2020</w:t>
            </w:r>
          </w:p>
        </w:tc>
        <w:tc>
          <w:tcPr>
            <w:tcW w:w="4050" w:type="dxa"/>
          </w:tcPr>
          <w:p w14:paraId="668883C6"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Transforming global health</w:t>
            </w:r>
          </w:p>
        </w:tc>
        <w:tc>
          <w:tcPr>
            <w:tcW w:w="3240" w:type="dxa"/>
          </w:tcPr>
          <w:p w14:paraId="1E342816"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Contemporary hospital report</w:t>
            </w:r>
          </w:p>
        </w:tc>
      </w:tr>
      <w:tr w:rsidR="00711B1D" w14:paraId="5FF2BA41"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61800A0A" w14:textId="77777777" w:rsidR="00711B1D" w:rsidRDefault="00000000">
            <w:pPr>
              <w:rPr>
                <w:rFonts w:hint="eastAsia"/>
              </w:rPr>
            </w:pPr>
            <w:r>
              <w:t>2021</w:t>
            </w:r>
          </w:p>
        </w:tc>
        <w:tc>
          <w:tcPr>
            <w:tcW w:w="4050" w:type="dxa"/>
            <w:tcBorders>
              <w:left w:val="none" w:sz="0" w:space="0" w:color="auto"/>
              <w:right w:val="none" w:sz="0" w:space="0" w:color="auto"/>
            </w:tcBorders>
          </w:tcPr>
          <w:p w14:paraId="080E0212"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Pharmacy: Always trusted for your health</w:t>
            </w:r>
          </w:p>
        </w:tc>
        <w:tc>
          <w:tcPr>
            <w:tcW w:w="3240" w:type="dxa"/>
            <w:tcBorders>
              <w:left w:val="none" w:sz="0" w:space="0" w:color="auto"/>
              <w:right w:val="none" w:sz="0" w:space="0" w:color="auto"/>
            </w:tcBorders>
          </w:tcPr>
          <w:p w14:paraId="1C721740"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Pharmaceutical Society of Northern Ireland</w:t>
            </w:r>
          </w:p>
        </w:tc>
      </w:tr>
      <w:tr w:rsidR="00711B1D" w14:paraId="3284D487"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7DE03ECE" w14:textId="77777777" w:rsidR="00711B1D" w:rsidRDefault="00000000">
            <w:pPr>
              <w:rPr>
                <w:rFonts w:hint="eastAsia"/>
              </w:rPr>
            </w:pPr>
            <w:r>
              <w:t>2022</w:t>
            </w:r>
          </w:p>
        </w:tc>
        <w:tc>
          <w:tcPr>
            <w:tcW w:w="4050" w:type="dxa"/>
          </w:tcPr>
          <w:p w14:paraId="1ED653F5"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Pharmacy united in action for a healthier world</w:t>
            </w:r>
          </w:p>
        </w:tc>
        <w:tc>
          <w:tcPr>
            <w:tcW w:w="3240" w:type="dxa"/>
          </w:tcPr>
          <w:p w14:paraId="1F5F9FDE"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FIP 2022 release</w:t>
            </w:r>
          </w:p>
        </w:tc>
      </w:tr>
      <w:tr w:rsidR="00711B1D" w14:paraId="00F825EB"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2CDA0075" w14:textId="77777777" w:rsidR="00711B1D" w:rsidRDefault="00000000">
            <w:pPr>
              <w:rPr>
                <w:rFonts w:hint="eastAsia"/>
              </w:rPr>
            </w:pPr>
            <w:r>
              <w:t>2023</w:t>
            </w:r>
          </w:p>
        </w:tc>
        <w:tc>
          <w:tcPr>
            <w:tcW w:w="4050" w:type="dxa"/>
            <w:tcBorders>
              <w:left w:val="none" w:sz="0" w:space="0" w:color="auto"/>
              <w:right w:val="none" w:sz="0" w:space="0" w:color="auto"/>
            </w:tcBorders>
          </w:tcPr>
          <w:p w14:paraId="425051EF"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Pharmacy: Strengthening health systems</w:t>
            </w:r>
          </w:p>
        </w:tc>
        <w:tc>
          <w:tcPr>
            <w:tcW w:w="3240" w:type="dxa"/>
            <w:tcBorders>
              <w:left w:val="none" w:sz="0" w:space="0" w:color="auto"/>
              <w:right w:val="none" w:sz="0" w:space="0" w:color="auto"/>
            </w:tcBorders>
          </w:tcPr>
          <w:p w14:paraId="1E6417F7"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FIP 2023 release</w:t>
            </w:r>
          </w:p>
        </w:tc>
      </w:tr>
      <w:tr w:rsidR="00711B1D" w14:paraId="64438D39"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4AD34AEA" w14:textId="77777777" w:rsidR="00711B1D" w:rsidRDefault="00000000">
            <w:pPr>
              <w:rPr>
                <w:rFonts w:hint="eastAsia"/>
              </w:rPr>
            </w:pPr>
            <w:r>
              <w:t>2024</w:t>
            </w:r>
          </w:p>
        </w:tc>
        <w:tc>
          <w:tcPr>
            <w:tcW w:w="4050" w:type="dxa"/>
          </w:tcPr>
          <w:p w14:paraId="26EDC2BC"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Pharmacists: Meeting global health needs</w:t>
            </w:r>
          </w:p>
        </w:tc>
        <w:tc>
          <w:tcPr>
            <w:tcW w:w="3240" w:type="dxa"/>
          </w:tcPr>
          <w:p w14:paraId="0A546F6E"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FIP 2024 release</w:t>
            </w:r>
          </w:p>
        </w:tc>
      </w:tr>
      <w:tr w:rsidR="00711B1D" w14:paraId="65660145" w14:textId="77777777" w:rsidTr="00765B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right w:val="none" w:sz="0" w:space="0" w:color="auto"/>
            </w:tcBorders>
          </w:tcPr>
          <w:p w14:paraId="0E8DC1BD" w14:textId="77777777" w:rsidR="00711B1D" w:rsidRDefault="00000000">
            <w:pPr>
              <w:rPr>
                <w:rFonts w:hint="eastAsia"/>
              </w:rPr>
            </w:pPr>
            <w:r>
              <w:t>2025</w:t>
            </w:r>
          </w:p>
        </w:tc>
        <w:tc>
          <w:tcPr>
            <w:tcW w:w="4050" w:type="dxa"/>
            <w:tcBorders>
              <w:left w:val="none" w:sz="0" w:space="0" w:color="auto"/>
              <w:right w:val="none" w:sz="0" w:space="0" w:color="auto"/>
            </w:tcBorders>
          </w:tcPr>
          <w:p w14:paraId="6F4E3710"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Think Health, Think Pharmacist</w:t>
            </w:r>
          </w:p>
        </w:tc>
        <w:tc>
          <w:tcPr>
            <w:tcW w:w="3240" w:type="dxa"/>
            <w:tcBorders>
              <w:left w:val="none" w:sz="0" w:space="0" w:color="auto"/>
              <w:right w:val="none" w:sz="0" w:space="0" w:color="auto"/>
            </w:tcBorders>
          </w:tcPr>
          <w:p w14:paraId="26A364FD" w14:textId="77777777" w:rsidR="00711B1D" w:rsidRDefault="00000000">
            <w:pPr>
              <w:cnfStyle w:val="000000100000" w:firstRow="0" w:lastRow="0" w:firstColumn="0" w:lastColumn="0" w:oddVBand="0" w:evenVBand="0" w:oddHBand="1" w:evenHBand="0" w:firstRowFirstColumn="0" w:firstRowLastColumn="0" w:lastRowFirstColumn="0" w:lastRowLastColumn="0"/>
              <w:rPr>
                <w:rFonts w:hint="eastAsia"/>
              </w:rPr>
            </w:pPr>
            <w:r>
              <w:t>FIP 2025 release</w:t>
            </w:r>
          </w:p>
        </w:tc>
      </w:tr>
      <w:tr w:rsidR="00711B1D" w14:paraId="0FBF8FC1" w14:textId="77777777" w:rsidTr="00765BD2">
        <w:trPr>
          <w:jc w:val="center"/>
        </w:trPr>
        <w:tc>
          <w:tcPr>
            <w:cnfStyle w:val="001000000000" w:firstRow="0" w:lastRow="0" w:firstColumn="1" w:lastColumn="0" w:oddVBand="0" w:evenVBand="0" w:oddHBand="0" w:evenHBand="0" w:firstRowFirstColumn="0" w:firstRowLastColumn="0" w:lastRowFirstColumn="0" w:lastRowLastColumn="0"/>
            <w:tcW w:w="1350" w:type="dxa"/>
          </w:tcPr>
          <w:p w14:paraId="154B9939" w14:textId="77777777" w:rsidR="00711B1D" w:rsidRDefault="00000000">
            <w:pPr>
              <w:rPr>
                <w:rFonts w:hint="eastAsia"/>
              </w:rPr>
            </w:pPr>
            <w:r>
              <w:t>2026</w:t>
            </w:r>
          </w:p>
        </w:tc>
        <w:tc>
          <w:tcPr>
            <w:tcW w:w="4050" w:type="dxa"/>
          </w:tcPr>
          <w:p w14:paraId="1041DB6E"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Empowering pharmacists for healthier futures</w:t>
            </w:r>
          </w:p>
        </w:tc>
        <w:tc>
          <w:tcPr>
            <w:tcW w:w="3240" w:type="dxa"/>
          </w:tcPr>
          <w:p w14:paraId="498BB585" w14:textId="77777777" w:rsidR="00711B1D" w:rsidRDefault="00000000">
            <w:pPr>
              <w:cnfStyle w:val="000000000000" w:firstRow="0" w:lastRow="0" w:firstColumn="0" w:lastColumn="0" w:oddVBand="0" w:evenVBand="0" w:oddHBand="0" w:evenHBand="0" w:firstRowFirstColumn="0" w:firstRowLastColumn="0" w:lastRowFirstColumn="0" w:lastRowLastColumn="0"/>
              <w:rPr>
                <w:rFonts w:hint="eastAsia"/>
              </w:rPr>
            </w:pPr>
            <w:r>
              <w:t>FIP 2026 page</w:t>
            </w:r>
          </w:p>
        </w:tc>
      </w:tr>
    </w:tbl>
    <w:p w14:paraId="42FA89D3" w14:textId="77777777" w:rsidR="00711B1D" w:rsidRDefault="00000000">
      <w:pPr>
        <w:pStyle w:val="Heading1"/>
      </w:pPr>
      <w:r>
        <w:lastRenderedPageBreak/>
        <w:t>What changed across these themes?</w:t>
      </w:r>
    </w:p>
    <w:p w14:paraId="20862BA9" w14:textId="77777777" w:rsidR="00711B1D" w:rsidRDefault="00000000">
      <w:pPr>
        <w:rPr>
          <w:rFonts w:hint="eastAsia"/>
        </w:rPr>
      </w:pPr>
      <w:r>
        <w:t>The wording increasingly describes pharmacists as partners in health, trusted medicine experts and contributors to stronger health systems. The 2026 theme asks how education, recognition and working support can prepare pharmacists for the health needs ahead. This is an interpretation of the themes, not a separate FIP statement.</w:t>
      </w:r>
    </w:p>
    <w:p w14:paraId="5645BB39" w14:textId="77777777" w:rsidR="00711B1D" w:rsidRDefault="00000000">
      <w:pPr>
        <w:pStyle w:val="Heading1"/>
      </w:pPr>
      <w:r>
        <w:t>How to explain it in under a minute</w:t>
      </w:r>
    </w:p>
    <w:p w14:paraId="4C2C68D3" w14:textId="77777777" w:rsidR="00711B1D" w:rsidRDefault="00000000">
      <w:pPr>
        <w:rPr>
          <w:rFonts w:hint="eastAsia"/>
        </w:rPr>
      </w:pPr>
      <w:r>
        <w:t>“World Pharmacists Day is observed on 25 September. That date marks the founding of FIP in the Netherlands in 1912. The annual day was adopted at an FIP congress in Turkey in 2009. Each year FIP selects a theme to show how pharmacists contribute to health. The 2026 theme asks what skills and support pharmacists need to help create healthier futures.”</w:t>
      </w:r>
    </w:p>
    <w:p w14:paraId="5EBE4ECD" w14:textId="77777777" w:rsidR="00711B1D" w:rsidRDefault="00000000">
      <w:pPr>
        <w:pStyle w:val="Heading1"/>
      </w:pPr>
      <w:r>
        <w:t>Sources for checking and further reading</w:t>
      </w:r>
    </w:p>
    <w:p w14:paraId="45E1FABE" w14:textId="77777777" w:rsidR="00711B1D" w:rsidRDefault="00000000">
      <w:pPr>
        <w:rPr>
          <w:rFonts w:hint="eastAsia"/>
        </w:rPr>
      </w:pPr>
      <w:r>
        <w:t>FIP, World Pharmacists Day: https://www.fip.org/world-pharmacists-day</w:t>
      </w:r>
    </w:p>
    <w:p w14:paraId="095D36ED" w14:textId="77777777" w:rsidR="00711B1D" w:rsidRDefault="00000000">
      <w:pPr>
        <w:rPr>
          <w:rFonts w:hint="eastAsia"/>
        </w:rPr>
      </w:pPr>
      <w:r>
        <w:t>FIP, 2022 press release (history and adoption): https://www.fip.org/press-releases?press=item&amp;press-item=119</w:t>
      </w:r>
    </w:p>
    <w:p w14:paraId="5810C4CA" w14:textId="77777777" w:rsidR="00711B1D" w:rsidRDefault="00000000">
      <w:pPr>
        <w:rPr>
          <w:rFonts w:hint="eastAsia"/>
        </w:rPr>
      </w:pPr>
      <w:r>
        <w:t>FIP, introduction and headquarters: https://events.fip.org/introduction-to-fip/</w:t>
      </w:r>
    </w:p>
    <w:p w14:paraId="165A570C" w14:textId="77777777" w:rsidR="00711B1D" w:rsidRDefault="00000000">
      <w:pPr>
        <w:rPr>
          <w:rFonts w:hint="eastAsia"/>
        </w:rPr>
      </w:pPr>
      <w:r>
        <w:t>FIP, 2015 historical article: https://www.fip.org/files/fip/2015_WPD_ready_to_use_article_-_FIP_president.pdf</w:t>
      </w:r>
    </w:p>
    <w:p w14:paraId="22CA1CC9" w14:textId="77777777" w:rsidR="00711B1D" w:rsidRDefault="00000000">
      <w:pPr>
        <w:rPr>
          <w:rFonts w:hint="eastAsia"/>
        </w:rPr>
      </w:pPr>
      <w:r>
        <w:t>FIP, 2016 release: https://www.fip.org/press-releases?press=item&amp;press-item=10</w:t>
      </w:r>
    </w:p>
    <w:p w14:paraId="3EBF120D" w14:textId="77777777" w:rsidR="00711B1D" w:rsidRDefault="00000000">
      <w:pPr>
        <w:rPr>
          <w:rFonts w:hint="eastAsia"/>
        </w:rPr>
      </w:pPr>
      <w:r>
        <w:t>FIP, 2023 release: https://www.fip.org/press-releases?press=item&amp;press-item=154</w:t>
      </w:r>
    </w:p>
    <w:p w14:paraId="43245E0E" w14:textId="77777777" w:rsidR="00711B1D" w:rsidRDefault="00000000">
      <w:pPr>
        <w:rPr>
          <w:rFonts w:hint="eastAsia"/>
        </w:rPr>
      </w:pPr>
      <w:r>
        <w:t>FIP, 2024 release: https://www.fip.org/press-releases?press=item&amp;press-item=180</w:t>
      </w:r>
    </w:p>
    <w:p w14:paraId="6539170D" w14:textId="77777777" w:rsidR="00711B1D" w:rsidRDefault="00000000">
      <w:pPr>
        <w:rPr>
          <w:rFonts w:hint="eastAsia"/>
        </w:rPr>
      </w:pPr>
      <w:r>
        <w:t>FIP, 2025 release: https://www.fip.org/press-releases?press=item&amp;press-item=205</w:t>
      </w:r>
    </w:p>
    <w:p w14:paraId="5A363100" w14:textId="77777777" w:rsidR="00711B1D" w:rsidRDefault="00000000">
      <w:pPr>
        <w:rPr>
          <w:rFonts w:hint="eastAsia"/>
        </w:rPr>
      </w:pPr>
      <w:r>
        <w:t>FIP, 2026 release: https://www.fip.org/press-releases?press=item&amp;press-item=224</w:t>
      </w:r>
    </w:p>
    <w:p w14:paraId="6C02C0B0" w14:textId="77777777" w:rsidR="00711B1D" w:rsidRDefault="00000000">
      <w:pPr>
        <w:rPr>
          <w:rFonts w:hint="eastAsia"/>
        </w:rPr>
      </w:pPr>
      <w:r>
        <w:t>Pharmaceutical Society of Northern Ireland, 2021: https://psni.org.uk/world-pharmacists-day-pharmacy-always-trusted-for-your-health/</w:t>
      </w:r>
    </w:p>
    <w:sectPr w:rsidR="00711B1D"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8764977">
    <w:abstractNumId w:val="8"/>
  </w:num>
  <w:num w:numId="2" w16cid:durableId="131213758">
    <w:abstractNumId w:val="6"/>
  </w:num>
  <w:num w:numId="3" w16cid:durableId="263459844">
    <w:abstractNumId w:val="5"/>
  </w:num>
  <w:num w:numId="4" w16cid:durableId="590897557">
    <w:abstractNumId w:val="4"/>
  </w:num>
  <w:num w:numId="5" w16cid:durableId="1635257633">
    <w:abstractNumId w:val="7"/>
  </w:num>
  <w:num w:numId="6" w16cid:durableId="1729648411">
    <w:abstractNumId w:val="3"/>
  </w:num>
  <w:num w:numId="7" w16cid:durableId="83959453">
    <w:abstractNumId w:val="2"/>
  </w:num>
  <w:num w:numId="8" w16cid:durableId="1182474181">
    <w:abstractNumId w:val="1"/>
  </w:num>
  <w:num w:numId="9" w16cid:durableId="1289968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11B1D"/>
    <w:rsid w:val="00765BD2"/>
    <w:rsid w:val="008119FE"/>
    <w:rsid w:val="009A198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EECFE6"/>
  <w14:defaultImageDpi w14:val="300"/>
  <w15:docId w15:val="{FB3A893E-237C-4A35-A802-A981545A1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Vishwanath Agrahari</cp:lastModifiedBy>
  <cp:revision>3</cp:revision>
  <dcterms:created xsi:type="dcterms:W3CDTF">2013-12-23T23:15:00Z</dcterms:created>
  <dcterms:modified xsi:type="dcterms:W3CDTF">2026-09-25T03:44:00Z</dcterms:modified>
  <cp:category/>
</cp:coreProperties>
</file>